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C0" w:rsidP="000674C0" w:rsidRDefault="000674C0">
      <w:pPr>
        <w:jc w:val="center"/>
        <w:rPr>
          <w:rFonts w:ascii="Arial" w:hAnsi="Arial" w:cs="Arial"/>
          <w:b/>
          <w:sz w:val="32"/>
          <w:szCs w:val="32"/>
        </w:rPr>
      </w:pPr>
    </w:p>
    <w:p w:rsidR="00590850" w:rsidP="00BA56D8" w:rsidRDefault="006329A2">
      <w:pPr>
        <w:shd w:val="clear" w:color="auto" w:fill="B8CCE4" w:themeFill="accent1" w:themeFillTint="66"/>
        <w:jc w:val="center"/>
        <w:rPr>
          <w:rFonts w:ascii="Arial" w:hAnsi="Arial" w:cs="Arial"/>
          <w:b/>
          <w:sz w:val="32"/>
          <w:szCs w:val="32"/>
        </w:rPr>
      </w:pPr>
      <w:r w:rsidRPr="006946FC">
        <w:rPr>
          <w:rFonts w:ascii="Arial" w:hAnsi="Arial" w:cs="Arial"/>
          <w:b/>
          <w:sz w:val="32"/>
          <w:szCs w:val="32"/>
        </w:rPr>
        <w:t xml:space="preserve">Conversion </w:t>
      </w:r>
      <w:r w:rsidR="00F40C80">
        <w:rPr>
          <w:rFonts w:ascii="Arial" w:hAnsi="Arial" w:cs="Arial"/>
          <w:b/>
          <w:sz w:val="32"/>
          <w:szCs w:val="32"/>
        </w:rPr>
        <w:t xml:space="preserve">&amp; re-use </w:t>
      </w:r>
      <w:r w:rsidR="001C7941">
        <w:rPr>
          <w:rFonts w:ascii="Arial" w:hAnsi="Arial" w:cs="Arial"/>
          <w:b/>
          <w:sz w:val="32"/>
          <w:szCs w:val="32"/>
        </w:rPr>
        <w:t>of</w:t>
      </w:r>
      <w:r w:rsidR="00590850">
        <w:rPr>
          <w:rFonts w:ascii="Arial" w:hAnsi="Arial" w:cs="Arial"/>
          <w:b/>
          <w:sz w:val="32"/>
          <w:szCs w:val="32"/>
        </w:rPr>
        <w:t xml:space="preserve"> rural buildings:</w:t>
      </w:r>
    </w:p>
    <w:p w:rsidRPr="006946FC" w:rsidR="00CA0AC4" w:rsidP="00BA56D8" w:rsidRDefault="0062337A">
      <w:pPr>
        <w:shd w:val="clear" w:color="auto" w:fill="B8CCE4" w:themeFill="accent1" w:themeFillTint="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</w:t>
      </w:r>
      <w:r w:rsidRPr="006946FC" w:rsidR="006329A2">
        <w:rPr>
          <w:rFonts w:ascii="Arial" w:hAnsi="Arial" w:cs="Arial"/>
          <w:b/>
          <w:sz w:val="32"/>
          <w:szCs w:val="32"/>
        </w:rPr>
        <w:t>evelopment appraisal</w:t>
      </w:r>
      <w:r>
        <w:rPr>
          <w:rFonts w:ascii="Arial" w:hAnsi="Arial" w:cs="Arial"/>
          <w:b/>
          <w:sz w:val="32"/>
          <w:szCs w:val="32"/>
        </w:rPr>
        <w:t xml:space="preserve"> template</w:t>
      </w:r>
    </w:p>
    <w:p w:rsidR="006946FC" w:rsidP="00BA56D8" w:rsidRDefault="006946FC">
      <w:pPr>
        <w:shd w:val="clear" w:color="auto" w:fill="B8CCE4" w:themeFill="accent1" w:themeFillTint="66"/>
        <w:rPr>
          <w:rFonts w:ascii="Arial" w:hAnsi="Arial" w:cs="Arial"/>
          <w:sz w:val="24"/>
          <w:szCs w:val="24"/>
        </w:rPr>
      </w:pPr>
    </w:p>
    <w:p w:rsidRPr="00EB45D5" w:rsidR="005850A8" w:rsidP="00BA56D8" w:rsidRDefault="00EB45D5">
      <w:pPr>
        <w:shd w:val="clear" w:color="auto" w:fill="B8CCE4" w:themeFill="accent1" w:themeFillTint="66"/>
        <w:jc w:val="center"/>
        <w:rPr>
          <w:rFonts w:ascii="Arial" w:hAnsi="Arial" w:cs="Arial"/>
          <w:b/>
          <w:sz w:val="24"/>
          <w:szCs w:val="24"/>
        </w:rPr>
      </w:pPr>
      <w:r w:rsidRPr="00EB45D5">
        <w:rPr>
          <w:rFonts w:ascii="Arial" w:hAnsi="Arial" w:cs="Arial"/>
          <w:b/>
          <w:sz w:val="24"/>
          <w:szCs w:val="24"/>
        </w:rPr>
        <w:t>INFORMATION IN SUPPORT OF PLANNING APPLICATION</w:t>
      </w:r>
    </w:p>
    <w:p w:rsidR="00EB45D5" w:rsidRDefault="00EB45D5">
      <w:pPr>
        <w:rPr>
          <w:rFonts w:ascii="Arial" w:hAnsi="Arial" w:cs="Arial"/>
          <w:sz w:val="24"/>
          <w:szCs w:val="24"/>
        </w:rPr>
      </w:pPr>
    </w:p>
    <w:p w:rsidR="00EB45D5" w:rsidRDefault="00EB45D5">
      <w:pPr>
        <w:rPr>
          <w:rFonts w:ascii="Arial" w:hAnsi="Arial" w:cs="Arial"/>
          <w:sz w:val="24"/>
          <w:szCs w:val="24"/>
        </w:rPr>
      </w:pPr>
    </w:p>
    <w:p w:rsidRPr="009E7D40" w:rsidR="009E7D40" w:rsidRDefault="009E7D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Denbighshire County Council is committed to retaining and creating local employment opportunities, and improving the supply of affordable housing, in ru</w:t>
      </w:r>
      <w:r w:rsidR="004D7EF5">
        <w:rPr>
          <w:rFonts w:ascii="Arial" w:hAnsi="Arial" w:cs="Arial"/>
          <w:sz w:val="24"/>
          <w:szCs w:val="24"/>
        </w:rPr>
        <w:t>ral areas.  The Council supports</w:t>
      </w:r>
      <w:r>
        <w:rPr>
          <w:rFonts w:ascii="Arial" w:hAnsi="Arial" w:cs="Arial"/>
          <w:sz w:val="24"/>
          <w:szCs w:val="24"/>
        </w:rPr>
        <w:t xml:space="preserve"> the conversion of redundant rural buildings to be for an employment/commercial use in the first instance, followed by conversion to affordable housing if an employment use cannot be secured. </w:t>
      </w:r>
    </w:p>
    <w:p w:rsidR="009E7D40" w:rsidRDefault="009E7D40">
      <w:pPr>
        <w:rPr>
          <w:rFonts w:ascii="Arial" w:hAnsi="Arial" w:cs="Arial"/>
          <w:b/>
          <w:sz w:val="24"/>
          <w:szCs w:val="24"/>
        </w:rPr>
      </w:pPr>
    </w:p>
    <w:p w:rsidRPr="004D7EF5" w:rsidR="005850A8" w:rsidRDefault="005850A8">
      <w:pPr>
        <w:rPr>
          <w:rFonts w:ascii="Arial" w:hAnsi="Arial" w:cs="Arial"/>
          <w:sz w:val="24"/>
          <w:szCs w:val="24"/>
        </w:rPr>
      </w:pPr>
      <w:r w:rsidRPr="004D7EF5">
        <w:rPr>
          <w:rFonts w:ascii="Arial" w:hAnsi="Arial" w:cs="Arial"/>
          <w:sz w:val="24"/>
          <w:szCs w:val="24"/>
        </w:rPr>
        <w:t>Conversion and re-use of redundant rural buildings to market housing will</w:t>
      </w:r>
      <w:r w:rsidR="00D328ED">
        <w:rPr>
          <w:rFonts w:ascii="Arial" w:hAnsi="Arial" w:cs="Arial"/>
          <w:sz w:val="24"/>
          <w:szCs w:val="24"/>
        </w:rPr>
        <w:t xml:space="preserve"> only be acceptable (subject to compliance with other policies/guidance) where</w:t>
      </w:r>
      <w:r w:rsidRPr="004D7EF5">
        <w:rPr>
          <w:rFonts w:ascii="Arial" w:hAnsi="Arial" w:cs="Arial"/>
          <w:sz w:val="24"/>
          <w:szCs w:val="24"/>
        </w:rPr>
        <w:t>:</w:t>
      </w:r>
    </w:p>
    <w:p w:rsidRPr="004D7EF5" w:rsidR="005850A8" w:rsidP="005850A8" w:rsidRDefault="005850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7EF5">
        <w:rPr>
          <w:rFonts w:ascii="Arial" w:hAnsi="Arial" w:cs="Arial"/>
          <w:sz w:val="24"/>
          <w:szCs w:val="24"/>
        </w:rPr>
        <w:t>Sufficient and reasonable attempts have been made to secure a business, commercial or community use</w:t>
      </w:r>
      <w:r w:rsidR="003A244E">
        <w:rPr>
          <w:rFonts w:ascii="Arial" w:hAnsi="Arial" w:cs="Arial"/>
          <w:sz w:val="24"/>
          <w:szCs w:val="24"/>
        </w:rPr>
        <w:t xml:space="preserve"> but have proved unsuccessful</w:t>
      </w:r>
      <w:r w:rsidRPr="004D7EF5">
        <w:rPr>
          <w:rFonts w:ascii="Arial" w:hAnsi="Arial" w:cs="Arial"/>
          <w:sz w:val="24"/>
          <w:szCs w:val="24"/>
        </w:rPr>
        <w:t xml:space="preserve"> AND</w:t>
      </w:r>
    </w:p>
    <w:p w:rsidRPr="00677CD6" w:rsidR="005850A8" w:rsidP="005850A8" w:rsidRDefault="003A24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it can be demonstrated that c</w:t>
      </w:r>
      <w:r w:rsidRPr="004D7EF5" w:rsidR="005850A8">
        <w:rPr>
          <w:rFonts w:ascii="Arial" w:hAnsi="Arial" w:cs="Arial"/>
          <w:sz w:val="24"/>
          <w:szCs w:val="24"/>
        </w:rPr>
        <w:t>onversion to affordable housing is not financially viable.</w:t>
      </w:r>
    </w:p>
    <w:p w:rsidR="00F379C9" w:rsidP="00F379C9" w:rsidRDefault="00F379C9">
      <w:pPr>
        <w:rPr>
          <w:rFonts w:ascii="Arial" w:hAnsi="Arial" w:cs="Arial"/>
          <w:sz w:val="24"/>
          <w:szCs w:val="24"/>
        </w:rPr>
      </w:pPr>
    </w:p>
    <w:p w:rsidR="007A245E" w:rsidRDefault="002A0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planning applications for conversion to market housing, you</w:t>
      </w:r>
      <w:r w:rsidR="00677CD6">
        <w:rPr>
          <w:rFonts w:ascii="Arial" w:hAnsi="Arial" w:cs="Arial"/>
          <w:sz w:val="24"/>
          <w:szCs w:val="24"/>
        </w:rPr>
        <w:t xml:space="preserve"> will be required to undertake a minimum 12-month marketing exercise for employment uses (see</w:t>
      </w:r>
      <w:r>
        <w:rPr>
          <w:rFonts w:ascii="Arial" w:hAnsi="Arial" w:cs="Arial"/>
          <w:sz w:val="24"/>
          <w:szCs w:val="24"/>
        </w:rPr>
        <w:t xml:space="preserve"> accompanying</w:t>
      </w:r>
      <w:r w:rsidR="00677CD6">
        <w:rPr>
          <w:rFonts w:ascii="Arial" w:hAnsi="Arial" w:cs="Arial"/>
          <w:sz w:val="24"/>
          <w:szCs w:val="24"/>
        </w:rPr>
        <w:t xml:space="preserve"> ‘Conversion &amp; re-use of redundant rural</w:t>
      </w:r>
      <w:r>
        <w:rPr>
          <w:rFonts w:ascii="Arial" w:hAnsi="Arial" w:cs="Arial"/>
          <w:sz w:val="24"/>
          <w:szCs w:val="24"/>
        </w:rPr>
        <w:t xml:space="preserve"> buildings:  Marketing exercise</w:t>
      </w:r>
      <w:r w:rsidR="00677CD6">
        <w:rPr>
          <w:rFonts w:ascii="Arial" w:hAnsi="Arial" w:cs="Arial"/>
          <w:sz w:val="24"/>
          <w:szCs w:val="24"/>
        </w:rPr>
        <w:t xml:space="preserve"> guidance</w:t>
      </w:r>
      <w:r>
        <w:rPr>
          <w:rFonts w:ascii="Arial" w:hAnsi="Arial" w:cs="Arial"/>
          <w:sz w:val="24"/>
          <w:szCs w:val="24"/>
        </w:rPr>
        <w:t>’</w:t>
      </w:r>
      <w:r w:rsidR="00677CD6">
        <w:rPr>
          <w:rFonts w:ascii="Arial" w:hAnsi="Arial" w:cs="Arial"/>
          <w:sz w:val="24"/>
          <w:szCs w:val="24"/>
        </w:rPr>
        <w:t xml:space="preserve"> note) </w:t>
      </w:r>
      <w:r w:rsidR="00677CD6">
        <w:rPr>
          <w:rFonts w:ascii="Arial" w:hAnsi="Arial" w:cs="Arial"/>
          <w:b/>
          <w:sz w:val="24"/>
          <w:szCs w:val="24"/>
        </w:rPr>
        <w:t>AND</w:t>
      </w:r>
      <w:r w:rsidR="00677CD6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 xml:space="preserve"> to</w:t>
      </w:r>
      <w:r w:rsidR="00677CD6">
        <w:rPr>
          <w:rFonts w:ascii="Arial" w:hAnsi="Arial" w:cs="Arial"/>
          <w:sz w:val="24"/>
          <w:szCs w:val="24"/>
        </w:rPr>
        <w:t xml:space="preserve"> submit the completed </w:t>
      </w:r>
      <w:r>
        <w:rPr>
          <w:rFonts w:ascii="Arial" w:hAnsi="Arial" w:cs="Arial"/>
          <w:sz w:val="24"/>
          <w:szCs w:val="24"/>
        </w:rPr>
        <w:t xml:space="preserve">development </w:t>
      </w:r>
      <w:r w:rsidR="00677CD6">
        <w:rPr>
          <w:rFonts w:ascii="Arial" w:hAnsi="Arial" w:cs="Arial"/>
          <w:sz w:val="24"/>
          <w:szCs w:val="24"/>
        </w:rPr>
        <w:t>appraisal template below</w:t>
      </w:r>
      <w:r w:rsidR="000256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demonstrate that</w:t>
      </w:r>
      <w:r w:rsidR="00025693">
        <w:rPr>
          <w:rFonts w:ascii="Arial" w:hAnsi="Arial" w:cs="Arial"/>
          <w:sz w:val="24"/>
          <w:szCs w:val="24"/>
        </w:rPr>
        <w:t xml:space="preserve"> conversion to</w:t>
      </w:r>
      <w:r>
        <w:rPr>
          <w:rFonts w:ascii="Arial" w:hAnsi="Arial" w:cs="Arial"/>
          <w:sz w:val="24"/>
          <w:szCs w:val="24"/>
        </w:rPr>
        <w:t xml:space="preserve"> an</w:t>
      </w:r>
      <w:r w:rsidR="00025693">
        <w:rPr>
          <w:rFonts w:ascii="Arial" w:hAnsi="Arial" w:cs="Arial"/>
          <w:sz w:val="24"/>
          <w:szCs w:val="24"/>
        </w:rPr>
        <w:t xml:space="preserve"> employment use and affordable housing is not viable</w:t>
      </w:r>
      <w:r w:rsidR="00677CD6">
        <w:rPr>
          <w:rFonts w:ascii="Arial" w:hAnsi="Arial" w:cs="Arial"/>
          <w:sz w:val="24"/>
          <w:szCs w:val="24"/>
        </w:rPr>
        <w:t>:</w:t>
      </w:r>
    </w:p>
    <w:p w:rsidR="00E03043" w:rsidRDefault="00E03043">
      <w:pPr>
        <w:rPr>
          <w:rFonts w:ascii="Arial" w:hAnsi="Arial" w:cs="Arial"/>
          <w:sz w:val="24"/>
          <w:szCs w:val="24"/>
        </w:rPr>
      </w:pPr>
    </w:p>
    <w:p w:rsidR="00E03043" w:rsidRDefault="00E03043">
      <w:pPr>
        <w:rPr>
          <w:rFonts w:ascii="Arial" w:hAnsi="Arial" w:cs="Arial"/>
          <w:sz w:val="24"/>
          <w:szCs w:val="24"/>
        </w:rPr>
      </w:pPr>
    </w:p>
    <w:p w:rsidR="00F175F6" w:rsidRDefault="00F175F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417"/>
        <w:gridCol w:w="1559"/>
        <w:gridCol w:w="1701"/>
      </w:tblGrid>
      <w:tr w:rsidRPr="006329A2" w:rsidR="006329A2" w:rsidTr="00333976">
        <w:tc>
          <w:tcPr>
            <w:tcW w:w="9180" w:type="dxa"/>
            <w:gridSpan w:val="5"/>
            <w:shd w:val="clear" w:color="auto" w:fill="DBE5F1" w:themeFill="accent1" w:themeFillTint="33"/>
          </w:tcPr>
          <w:p w:rsidRPr="006329A2" w:rsidR="006329A2" w:rsidRDefault="00632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A2">
              <w:rPr>
                <w:rFonts w:ascii="Arial" w:hAnsi="Arial" w:cs="Arial"/>
                <w:b/>
                <w:sz w:val="24"/>
                <w:szCs w:val="24"/>
              </w:rPr>
              <w:t xml:space="preserve">Gross </w:t>
            </w:r>
            <w:r w:rsidR="00A360FD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329A2">
              <w:rPr>
                <w:rFonts w:ascii="Arial" w:hAnsi="Arial" w:cs="Arial"/>
                <w:b/>
                <w:sz w:val="24"/>
                <w:szCs w:val="24"/>
              </w:rPr>
              <w:t xml:space="preserve">evelopment </w:t>
            </w:r>
            <w:r w:rsidR="00A360FD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6329A2">
              <w:rPr>
                <w:rFonts w:ascii="Arial" w:hAnsi="Arial" w:cs="Arial"/>
                <w:b/>
                <w:sz w:val="24"/>
                <w:szCs w:val="24"/>
              </w:rPr>
              <w:t>alue</w:t>
            </w:r>
          </w:p>
        </w:tc>
      </w:tr>
      <w:tr w:rsidRPr="006F7E46" w:rsidR="005D6C4E" w:rsidTr="006957C8">
        <w:tc>
          <w:tcPr>
            <w:tcW w:w="3369" w:type="dxa"/>
          </w:tcPr>
          <w:p w:rsidRPr="006F7E46" w:rsidR="006329A2" w:rsidP="006957C8" w:rsidRDefault="003A29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7E46">
              <w:rPr>
                <w:rFonts w:ascii="Arial" w:hAnsi="Arial" w:cs="Arial"/>
                <w:b/>
                <w:sz w:val="24"/>
                <w:szCs w:val="24"/>
              </w:rPr>
              <w:t>Unit</w:t>
            </w:r>
            <w:r w:rsidRPr="006F7E46" w:rsidR="006329A2">
              <w:rPr>
                <w:rFonts w:ascii="Arial" w:hAnsi="Arial" w:cs="Arial"/>
                <w:b/>
                <w:sz w:val="24"/>
                <w:szCs w:val="24"/>
              </w:rPr>
              <w:t xml:space="preserve"> type </w:t>
            </w:r>
          </w:p>
        </w:tc>
        <w:tc>
          <w:tcPr>
            <w:tcW w:w="1134" w:type="dxa"/>
          </w:tcPr>
          <w:p w:rsidRPr="006F7E46" w:rsidR="006329A2" w:rsidRDefault="00632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7E46">
              <w:rPr>
                <w:rFonts w:ascii="Arial" w:hAnsi="Arial" w:cs="Arial"/>
                <w:b/>
                <w:sz w:val="24"/>
                <w:szCs w:val="24"/>
              </w:rPr>
              <w:t>Number of units</w:t>
            </w:r>
          </w:p>
        </w:tc>
        <w:tc>
          <w:tcPr>
            <w:tcW w:w="1417" w:type="dxa"/>
          </w:tcPr>
          <w:p w:rsidRPr="006F7E46" w:rsidR="006329A2" w:rsidRDefault="00632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7E46">
              <w:rPr>
                <w:rFonts w:ascii="Arial" w:hAnsi="Arial" w:cs="Arial"/>
                <w:b/>
                <w:sz w:val="24"/>
                <w:szCs w:val="24"/>
              </w:rPr>
              <w:t>Floor area (</w:t>
            </w:r>
            <w:proofErr w:type="spellStart"/>
            <w:r w:rsidRPr="006F7E46">
              <w:rPr>
                <w:rFonts w:ascii="Arial" w:hAnsi="Arial" w:cs="Arial"/>
                <w:b/>
                <w:sz w:val="24"/>
                <w:szCs w:val="24"/>
              </w:rPr>
              <w:t>sqm</w:t>
            </w:r>
            <w:proofErr w:type="spellEnd"/>
            <w:r w:rsidRPr="006F7E4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Pr="006F7E46" w:rsidR="006329A2" w:rsidRDefault="00F17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Affordable</w:t>
            </w:r>
            <w:r w:rsidRPr="006F7E46" w:rsidR="006329A2">
              <w:rPr>
                <w:rFonts w:ascii="Arial" w:hAnsi="Arial" w:cs="Arial"/>
                <w:b/>
                <w:sz w:val="24"/>
                <w:szCs w:val="24"/>
              </w:rPr>
              <w:t xml:space="preserve"> value per unit</w:t>
            </w:r>
            <w:r w:rsidR="008E3CA4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</w:tcPr>
          <w:p w:rsidRPr="006F7E46" w:rsidR="006329A2" w:rsidRDefault="00632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7E46">
              <w:rPr>
                <w:rFonts w:ascii="Arial" w:hAnsi="Arial" w:cs="Arial"/>
                <w:b/>
                <w:sz w:val="24"/>
                <w:szCs w:val="24"/>
              </w:rPr>
              <w:t>Total sales value</w:t>
            </w:r>
            <w:r w:rsidR="008249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6946FC" w:rsidR="00CB0BA7" w:rsidTr="006957C8">
        <w:tc>
          <w:tcPr>
            <w:tcW w:w="3369" w:type="dxa"/>
          </w:tcPr>
          <w:p w:rsidRPr="006946FC" w:rsidR="006329A2" w:rsidRDefault="00BF57E7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6946FC" w:rsidR="006946FC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Detached</w:t>
            </w:r>
            <w:r w:rsidRPr="006946FC" w:rsidR="006329A2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, 3 bedrooms</w:t>
            </w:r>
          </w:p>
        </w:tc>
        <w:tc>
          <w:tcPr>
            <w:tcW w:w="1134" w:type="dxa"/>
          </w:tcPr>
          <w:p w:rsidRPr="006946FC" w:rsidR="006329A2" w:rsidRDefault="006329A2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417" w:type="dxa"/>
          </w:tcPr>
          <w:p w:rsidRPr="006946FC" w:rsidR="006329A2" w:rsidRDefault="006329A2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946FC" w:rsidR="006329A2" w:rsidRDefault="006329A2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9D4AF2" w:rsidR="006329A2" w:rsidRDefault="009D4AF2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9D4AF2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D6C4E" w:rsidTr="006957C8">
        <w:tc>
          <w:tcPr>
            <w:tcW w:w="3369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9A2" w:rsidRDefault="00824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D6C4E" w:rsidTr="006957C8">
        <w:tc>
          <w:tcPr>
            <w:tcW w:w="3369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9A2" w:rsidRDefault="00824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6329A2" w:rsidTr="00F175F6">
        <w:tc>
          <w:tcPr>
            <w:tcW w:w="7479" w:type="dxa"/>
            <w:gridSpan w:val="4"/>
            <w:shd w:val="clear" w:color="auto" w:fill="DBE5F1" w:themeFill="accent1" w:themeFillTint="33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GROSS DEVELOPMENT VALUE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6329A2" w:rsidRDefault="005D6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:rsidR="00F175F6" w:rsidRDefault="00F175F6">
      <w:pPr>
        <w:rPr>
          <w:rFonts w:ascii="Arial" w:hAnsi="Arial" w:cs="Arial"/>
          <w:sz w:val="24"/>
          <w:szCs w:val="24"/>
        </w:rPr>
      </w:pPr>
    </w:p>
    <w:p w:rsidR="00E03043" w:rsidRDefault="00E03043">
      <w:pPr>
        <w:rPr>
          <w:rFonts w:ascii="Arial" w:hAnsi="Arial" w:cs="Arial"/>
          <w:sz w:val="24"/>
          <w:szCs w:val="24"/>
        </w:rPr>
      </w:pPr>
    </w:p>
    <w:p w:rsidR="00F175F6" w:rsidRDefault="00F175F6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842"/>
        <w:gridCol w:w="1701"/>
      </w:tblGrid>
      <w:tr w:rsidR="006329A2" w:rsidTr="00333976">
        <w:tc>
          <w:tcPr>
            <w:tcW w:w="9180" w:type="dxa"/>
            <w:gridSpan w:val="4"/>
            <w:shd w:val="clear" w:color="auto" w:fill="DBE5F1" w:themeFill="accent1" w:themeFillTint="33"/>
          </w:tcPr>
          <w:p w:rsidRPr="006329A2" w:rsidR="006329A2" w:rsidRDefault="00A36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Development C</w:t>
            </w:r>
            <w:r w:rsidRPr="006329A2" w:rsidR="006329A2">
              <w:rPr>
                <w:rFonts w:ascii="Arial" w:hAnsi="Arial" w:cs="Arial"/>
                <w:b/>
                <w:sz w:val="24"/>
                <w:szCs w:val="24"/>
              </w:rPr>
              <w:t>osts</w:t>
            </w:r>
          </w:p>
        </w:tc>
      </w:tr>
      <w:tr w:rsidR="006F7E46" w:rsidTr="006F7E46">
        <w:tc>
          <w:tcPr>
            <w:tcW w:w="3369" w:type="dxa"/>
          </w:tcPr>
          <w:p w:rsidRPr="006329A2" w:rsidR="006F7E46" w:rsidRDefault="006F7E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  <w:tc>
          <w:tcPr>
            <w:tcW w:w="4110" w:type="dxa"/>
            <w:gridSpan w:val="2"/>
          </w:tcPr>
          <w:p w:rsidRPr="006329A2" w:rsidR="006F7E46" w:rsidRDefault="006F7E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(please specify)</w:t>
            </w:r>
          </w:p>
        </w:tc>
        <w:tc>
          <w:tcPr>
            <w:tcW w:w="1701" w:type="dxa"/>
          </w:tcPr>
          <w:p w:rsidRPr="006329A2" w:rsidR="006F7E46" w:rsidRDefault="006F7E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026764" w:rsidTr="002A4D0D">
        <w:tc>
          <w:tcPr>
            <w:tcW w:w="7479" w:type="dxa"/>
            <w:gridSpan w:val="3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Building/land purchase cost</w:t>
            </w:r>
          </w:p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026764" w:rsidTr="00402B2E">
        <w:tc>
          <w:tcPr>
            <w:tcW w:w="3369" w:type="dxa"/>
          </w:tcPr>
          <w:p w:rsidR="00026764" w:rsidP="006F7E46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Building/land acquisition fees</w:t>
            </w:r>
            <w:r w:rsidR="00E12C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E46" w:rsidP="006F7E46" w:rsidRDefault="006F7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Pr="009214F0" w:rsidR="009214F0" w:rsidRDefault="00026764">
            <w:pPr>
              <w:rPr>
                <w:rFonts w:ascii="Arial" w:hAnsi="Arial" w:cs="Arial"/>
                <w:sz w:val="24"/>
                <w:szCs w:val="24"/>
              </w:rPr>
            </w:pPr>
            <w:r w:rsidRPr="009214F0">
              <w:rPr>
                <w:rFonts w:ascii="Arial" w:hAnsi="Arial" w:cs="Arial"/>
                <w:sz w:val="24"/>
                <w:szCs w:val="24"/>
              </w:rPr>
              <w:t>Stamp duty</w:t>
            </w:r>
          </w:p>
          <w:p w:rsidRPr="009214F0" w:rsidR="00026764" w:rsidRDefault="009214F0">
            <w:pPr>
              <w:rPr>
                <w:rFonts w:ascii="Arial" w:hAnsi="Arial" w:cs="Arial"/>
                <w:sz w:val="24"/>
                <w:szCs w:val="24"/>
              </w:rPr>
            </w:pPr>
            <w:r w:rsidRPr="009214F0">
              <w:rPr>
                <w:rFonts w:ascii="Arial" w:hAnsi="Arial" w:cs="Arial"/>
                <w:sz w:val="24"/>
                <w:szCs w:val="24"/>
              </w:rPr>
              <w:t>L</w:t>
            </w:r>
            <w:r w:rsidRPr="009214F0" w:rsidR="009F5096">
              <w:rPr>
                <w:rFonts w:ascii="Arial" w:hAnsi="Arial" w:cs="Arial"/>
                <w:sz w:val="24"/>
                <w:szCs w:val="24"/>
              </w:rPr>
              <w:t>egal fees</w:t>
            </w:r>
          </w:p>
          <w:p w:rsidR="009214F0" w:rsidRDefault="009214F0">
            <w:pPr>
              <w:rPr>
                <w:rFonts w:ascii="Arial" w:hAnsi="Arial" w:cs="Arial"/>
                <w:sz w:val="24"/>
                <w:szCs w:val="24"/>
              </w:rPr>
            </w:pPr>
            <w:r w:rsidRPr="009214F0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1701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214F0" w:rsidRDefault="00921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214F0" w:rsidRDefault="00921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214F0" w:rsidRDefault="009214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764" w:rsidTr="003E7BE6">
        <w:tc>
          <w:tcPr>
            <w:tcW w:w="3369" w:type="dxa"/>
          </w:tcPr>
          <w:p w:rsidR="00026764" w:rsidP="006F7E46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Planning &amp; professional fees</w:t>
            </w:r>
            <w:r w:rsidR="00E12C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E46" w:rsidP="006F7E46" w:rsidRDefault="006F7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Pr="00BD767A"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  <w:r w:rsidRPr="00BD767A">
              <w:rPr>
                <w:rFonts w:ascii="Arial" w:hAnsi="Arial" w:cs="Arial"/>
                <w:sz w:val="24"/>
                <w:szCs w:val="24"/>
              </w:rPr>
              <w:t>Planning application fee</w:t>
            </w:r>
          </w:p>
          <w:p w:rsidRPr="00BD767A"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  <w:r w:rsidRPr="00BD767A">
              <w:rPr>
                <w:rFonts w:ascii="Arial" w:hAnsi="Arial" w:cs="Arial"/>
                <w:sz w:val="24"/>
                <w:szCs w:val="24"/>
              </w:rPr>
              <w:t>Architect</w:t>
            </w:r>
          </w:p>
          <w:p w:rsidRPr="00BD767A" w:rsidR="00026764" w:rsidRDefault="00BD767A">
            <w:pPr>
              <w:rPr>
                <w:rFonts w:ascii="Arial" w:hAnsi="Arial" w:cs="Arial"/>
                <w:sz w:val="24"/>
                <w:szCs w:val="24"/>
              </w:rPr>
            </w:pPr>
            <w:r w:rsidRPr="00BD767A">
              <w:rPr>
                <w:rFonts w:ascii="Arial" w:hAnsi="Arial" w:cs="Arial"/>
                <w:sz w:val="24"/>
                <w:szCs w:val="24"/>
              </w:rPr>
              <w:t>T</w:t>
            </w:r>
            <w:r w:rsidRPr="00BD767A" w:rsidR="00026764">
              <w:rPr>
                <w:rFonts w:ascii="Arial" w:hAnsi="Arial" w:cs="Arial"/>
                <w:sz w:val="24"/>
                <w:szCs w:val="24"/>
              </w:rPr>
              <w:t>echnical surveys</w:t>
            </w:r>
          </w:p>
          <w:p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  <w:r w:rsidRPr="00BD767A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1701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82F" w:rsidTr="009440F7">
        <w:tc>
          <w:tcPr>
            <w:tcW w:w="3369" w:type="dxa"/>
            <w:vMerge w:val="restart"/>
          </w:tcPr>
          <w:p w:rsidR="0026182F" w:rsidP="006946FC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Construction </w:t>
            </w:r>
          </w:p>
        </w:tc>
        <w:tc>
          <w:tcPr>
            <w:tcW w:w="2268" w:type="dxa"/>
            <w:tcBorders>
              <w:bottom w:val="nil"/>
            </w:tcBorders>
          </w:tcPr>
          <w:p w:rsidRPr="00765E27" w:rsidR="0026182F" w:rsidRDefault="00944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b</w:t>
            </w:r>
            <w:r w:rsidRPr="00DD62F6" w:rsidR="0026182F">
              <w:rPr>
                <w:rFonts w:ascii="Arial" w:hAnsi="Arial" w:cs="Arial"/>
                <w:sz w:val="24"/>
                <w:szCs w:val="24"/>
              </w:rPr>
              <w:t>uild cost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D62F6" w:rsidR="002618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nil"/>
            </w:tcBorders>
          </w:tcPr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proofErr w:type="spellStart"/>
            <w:r w:rsidRPr="005D6C4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xxx</w:t>
            </w:r>
            <w:r w:rsidRPr="0026182F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701" w:type="dxa"/>
            <w:vMerge w:val="restart"/>
          </w:tcPr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6182F" w:rsidP="000B48AA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440F7" w:rsidTr="009440F7">
        <w:tc>
          <w:tcPr>
            <w:tcW w:w="3369" w:type="dxa"/>
            <w:vMerge/>
          </w:tcPr>
          <w:p w:rsidR="009440F7" w:rsidP="006946FC" w:rsidRDefault="00944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Pr="00DD62F6" w:rsidR="009440F7" w:rsidRDefault="00944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Conversion costs</w:t>
            </w:r>
          </w:p>
        </w:tc>
        <w:tc>
          <w:tcPr>
            <w:tcW w:w="1842" w:type="dxa"/>
            <w:tcBorders>
              <w:top w:val="nil"/>
            </w:tcBorders>
          </w:tcPr>
          <w:p w:rsidR="009440F7" w:rsidRDefault="00944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proofErr w:type="spellStart"/>
            <w:r w:rsidRPr="009440F7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xxxx</w:t>
            </w:r>
            <w:proofErr w:type="spellEnd"/>
            <w:r w:rsidRPr="009440F7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701" w:type="dxa"/>
            <w:vMerge/>
          </w:tcPr>
          <w:p w:rsidR="009440F7" w:rsidRDefault="00944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82F" w:rsidTr="007810A5">
        <w:trPr>
          <w:trHeight w:val="1380"/>
        </w:trPr>
        <w:tc>
          <w:tcPr>
            <w:tcW w:w="3369" w:type="dxa"/>
            <w:vMerge/>
            <w:tcBorders>
              <w:bottom w:val="single" w:color="auto" w:sz="4" w:space="0"/>
            </w:tcBorders>
          </w:tcPr>
          <w:p w:rsidR="0026182F" w:rsidP="006946FC" w:rsidRDefault="002618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color="auto" w:sz="4" w:space="0"/>
            </w:tcBorders>
          </w:tcPr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Services</w:t>
            </w:r>
          </w:p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Landscaping</w:t>
            </w:r>
          </w:p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Roads</w:t>
            </w:r>
          </w:p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  <w:p w:rsidR="0026182F" w:rsidP="001E50EB" w:rsidRDefault="002618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color="auto" w:sz="4" w:space="0"/>
            </w:tcBorders>
          </w:tcPr>
          <w:p w:rsidR="0026182F" w:rsidP="000B48AA" w:rsidRDefault="00261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764" w:rsidTr="009360B3">
        <w:tc>
          <w:tcPr>
            <w:tcW w:w="3369" w:type="dxa"/>
          </w:tcPr>
          <w:p w:rsidR="00026764" w:rsidP="006F7E46" w:rsidRDefault="00434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S106/planning obligations</w:t>
            </w:r>
            <w:r w:rsidR="00C442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Pr="0061564F"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  <w:r w:rsidRPr="0061564F">
              <w:rPr>
                <w:rFonts w:ascii="Arial" w:hAnsi="Arial" w:cs="Arial"/>
                <w:sz w:val="24"/>
                <w:szCs w:val="24"/>
              </w:rPr>
              <w:t>Open space</w:t>
            </w:r>
            <w:r w:rsidRPr="0061564F" w:rsidR="004345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61564F" w:rsidR="00026764" w:rsidRDefault="0061564F">
            <w:pPr>
              <w:rPr>
                <w:rFonts w:ascii="Arial" w:hAnsi="Arial" w:cs="Arial"/>
                <w:sz w:val="24"/>
                <w:szCs w:val="24"/>
              </w:rPr>
            </w:pPr>
            <w:r w:rsidRPr="0061564F">
              <w:rPr>
                <w:rFonts w:ascii="Arial" w:hAnsi="Arial" w:cs="Arial"/>
                <w:sz w:val="24"/>
                <w:szCs w:val="24"/>
              </w:rPr>
              <w:t>Education</w:t>
            </w:r>
          </w:p>
          <w:p w:rsidRPr="0061564F"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  <w:r w:rsidRPr="0061564F">
              <w:rPr>
                <w:rFonts w:ascii="Arial" w:hAnsi="Arial" w:cs="Arial"/>
                <w:sz w:val="24"/>
                <w:szCs w:val="24"/>
              </w:rPr>
              <w:t>Highways</w:t>
            </w:r>
          </w:p>
          <w:p w:rsidRPr="0061564F"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  <w:r w:rsidRPr="0061564F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  <w:p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8B3FDB" w:rsidTr="00775811">
        <w:tc>
          <w:tcPr>
            <w:tcW w:w="3369" w:type="dxa"/>
          </w:tcPr>
          <w:p w:rsidR="008B3FDB" w:rsidP="006F7E46" w:rsidRDefault="008B3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Abnormal </w:t>
            </w:r>
            <w:r w:rsidR="0051763D">
              <w:rPr>
                <w:rFonts w:ascii="Arial" w:hAnsi="Arial" w:cs="Arial"/>
                <w:sz w:val="24"/>
                <w:szCs w:val="24"/>
              </w:rPr>
              <w:t xml:space="preserve">construction </w:t>
            </w:r>
            <w:r>
              <w:rPr>
                <w:rFonts w:ascii="Arial" w:hAnsi="Arial" w:cs="Arial"/>
                <w:sz w:val="24"/>
                <w:szCs w:val="24"/>
              </w:rPr>
              <w:t>costs</w:t>
            </w:r>
            <w:r w:rsidR="00201E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E46" w:rsidP="006F7E46" w:rsidRDefault="006F7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20A2" w:rsidRDefault="00B76F3D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9820A2">
              <w:rPr>
                <w:rFonts w:ascii="Arial" w:hAnsi="Arial" w:cs="Arial"/>
                <w:sz w:val="24"/>
                <w:szCs w:val="24"/>
              </w:rPr>
              <w:t>Land stabilisation</w:t>
            </w:r>
            <w:r w:rsidRPr="00B76F3D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8B3FDB" w:rsidRDefault="009820A2">
            <w:pPr>
              <w:rPr>
                <w:rFonts w:ascii="Arial" w:hAnsi="Arial" w:cs="Arial"/>
                <w:sz w:val="24"/>
                <w:szCs w:val="24"/>
              </w:rPr>
            </w:pPr>
            <w:r w:rsidRPr="009820A2">
              <w:rPr>
                <w:rFonts w:ascii="Arial" w:hAnsi="Arial" w:cs="Arial"/>
                <w:sz w:val="24"/>
                <w:szCs w:val="24"/>
              </w:rPr>
              <w:t>D</w:t>
            </w:r>
            <w:r w:rsidRPr="009820A2" w:rsidR="00B76F3D">
              <w:rPr>
                <w:rFonts w:ascii="Arial" w:hAnsi="Arial" w:cs="Arial"/>
                <w:sz w:val="24"/>
                <w:szCs w:val="24"/>
              </w:rPr>
              <w:t>econtamination</w:t>
            </w:r>
          </w:p>
          <w:p w:rsidRPr="009820A2" w:rsidR="009820A2" w:rsidRDefault="009820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1701" w:type="dxa"/>
          </w:tcPr>
          <w:p w:rsidR="008B3FDB" w:rsidRDefault="008B3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820A2" w:rsidRDefault="009820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820A2" w:rsidRDefault="009820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820A2" w:rsidRDefault="009820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FDB" w:rsidTr="00980B16">
        <w:tc>
          <w:tcPr>
            <w:tcW w:w="3369" w:type="dxa"/>
          </w:tcPr>
          <w:p w:rsidR="008B3FDB" w:rsidP="006F7E46" w:rsidRDefault="000019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&amp; legal costs</w:t>
            </w:r>
            <w:r w:rsidR="00BB0F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Pr="002A638C" w:rsidR="002A638C" w:rsidRDefault="002A638C">
            <w:pPr>
              <w:rPr>
                <w:rFonts w:ascii="Arial" w:hAnsi="Arial" w:cs="Arial"/>
                <w:sz w:val="24"/>
                <w:szCs w:val="24"/>
              </w:rPr>
            </w:pPr>
            <w:r w:rsidRPr="002A638C">
              <w:rPr>
                <w:rFonts w:ascii="Arial" w:hAnsi="Arial" w:cs="Arial"/>
                <w:sz w:val="24"/>
                <w:szCs w:val="24"/>
              </w:rPr>
              <w:t>Borrowing costs</w:t>
            </w:r>
          </w:p>
          <w:p w:rsidRPr="002A638C" w:rsidR="002A638C" w:rsidRDefault="002A638C">
            <w:pPr>
              <w:rPr>
                <w:rFonts w:ascii="Arial" w:hAnsi="Arial" w:cs="Arial"/>
                <w:sz w:val="24"/>
                <w:szCs w:val="24"/>
              </w:rPr>
            </w:pPr>
            <w:r w:rsidRPr="002A638C">
              <w:rPr>
                <w:rFonts w:ascii="Arial" w:hAnsi="Arial" w:cs="Arial"/>
                <w:sz w:val="24"/>
                <w:szCs w:val="24"/>
              </w:rPr>
              <w:t>Legal fees</w:t>
            </w:r>
          </w:p>
          <w:p w:rsidRPr="002A638C" w:rsidR="008B3FDB" w:rsidRDefault="002A638C">
            <w:pPr>
              <w:rPr>
                <w:rFonts w:ascii="Arial" w:hAnsi="Arial" w:cs="Arial"/>
                <w:sz w:val="24"/>
                <w:szCs w:val="24"/>
              </w:rPr>
            </w:pPr>
            <w:r w:rsidRPr="002A638C">
              <w:rPr>
                <w:rFonts w:ascii="Arial" w:hAnsi="Arial" w:cs="Arial"/>
                <w:sz w:val="24"/>
                <w:szCs w:val="24"/>
              </w:rPr>
              <w:t>A</w:t>
            </w:r>
            <w:r w:rsidRPr="002A638C" w:rsidR="00212361">
              <w:rPr>
                <w:rFonts w:ascii="Arial" w:hAnsi="Arial" w:cs="Arial"/>
                <w:sz w:val="24"/>
                <w:szCs w:val="24"/>
              </w:rPr>
              <w:t>rrangement fees</w:t>
            </w:r>
          </w:p>
          <w:p w:rsidRPr="002A638C" w:rsidR="002A638C" w:rsidRDefault="002A638C">
            <w:pPr>
              <w:rPr>
                <w:rFonts w:ascii="Arial" w:hAnsi="Arial" w:cs="Arial"/>
                <w:sz w:val="24"/>
                <w:szCs w:val="24"/>
              </w:rPr>
            </w:pPr>
            <w:r w:rsidRPr="002A638C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  <w:p w:rsidRPr="00212361" w:rsidR="002A638C" w:rsidRDefault="002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FDB" w:rsidRDefault="008B3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A638C" w:rsidRDefault="002A6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A638C" w:rsidRDefault="002A6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A638C" w:rsidRDefault="002A6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B0A67" w:rsidTr="00B6702E">
        <w:tc>
          <w:tcPr>
            <w:tcW w:w="3369" w:type="dxa"/>
          </w:tcPr>
          <w:p w:rsidR="00DB0A67" w:rsidRDefault="00DB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 &amp; marketing costs</w:t>
            </w:r>
          </w:p>
          <w:p w:rsidR="00DB0A67" w:rsidRDefault="00DB0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B0A67" w:rsidRDefault="00532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Estate agent fees</w:t>
            </w:r>
          </w:p>
          <w:p w:rsidR="005322D5" w:rsidRDefault="00532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  <w:p w:rsidR="005322D5" w:rsidRDefault="00532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A67" w:rsidRDefault="00DB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5322D5" w:rsidRDefault="00532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026764" w:rsidTr="00B6702E">
        <w:tc>
          <w:tcPr>
            <w:tcW w:w="3369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DC1C52">
              <w:rPr>
                <w:rFonts w:ascii="Arial" w:hAnsi="Arial" w:cs="Arial"/>
                <w:sz w:val="24"/>
                <w:szCs w:val="24"/>
              </w:rPr>
              <w:t>(please specify)</w:t>
            </w:r>
          </w:p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D3A35" w:rsidTr="00483FCA">
        <w:tc>
          <w:tcPr>
            <w:tcW w:w="7479" w:type="dxa"/>
            <w:gridSpan w:val="3"/>
          </w:tcPr>
          <w:p w:rsidR="004D3A35" w:rsidP="00483FCA" w:rsidRDefault="004D3A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Contingency</w:t>
            </w:r>
            <w:r w:rsidR="00DC1C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E46" w:rsidP="00483FCA" w:rsidRDefault="006F7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A35" w:rsidP="00483FCA" w:rsidRDefault="004D3A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D6C4E" w:rsidTr="00F175F6">
        <w:tc>
          <w:tcPr>
            <w:tcW w:w="7479" w:type="dxa"/>
            <w:gridSpan w:val="3"/>
            <w:shd w:val="clear" w:color="auto" w:fill="DBE5F1" w:themeFill="accent1" w:themeFillTint="33"/>
          </w:tcPr>
          <w:p w:rsidR="005D6C4E" w:rsidRDefault="005D6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DEVELOPMENT COSTS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5D6C4E" w:rsidRDefault="005D6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:rsidR="006329A2" w:rsidRDefault="006329A2">
      <w:pPr>
        <w:rPr>
          <w:rFonts w:ascii="Arial" w:hAnsi="Arial" w:cs="Arial"/>
          <w:sz w:val="24"/>
          <w:szCs w:val="24"/>
        </w:rPr>
      </w:pPr>
    </w:p>
    <w:p w:rsidR="005D6C4E" w:rsidRDefault="005D6C4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7479"/>
        <w:gridCol w:w="1701"/>
      </w:tblGrid>
      <w:tr w:rsidR="005D6C4E" w:rsidTr="00EF23CE">
        <w:tc>
          <w:tcPr>
            <w:tcW w:w="7479" w:type="dxa"/>
            <w:shd w:val="clear" w:color="auto" w:fill="B8CCE4" w:themeFill="accent1" w:themeFillTint="66"/>
            <w:vAlign w:val="center"/>
          </w:tcPr>
          <w:p w:rsidRPr="00464EE0" w:rsidR="00EF23CE" w:rsidP="00EF23CE" w:rsidRDefault="005D6C4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64EE0">
              <w:rPr>
                <w:rFonts w:ascii="Arial" w:hAnsi="Arial" w:cs="Arial"/>
                <w:b/>
                <w:sz w:val="24"/>
                <w:szCs w:val="24"/>
              </w:rPr>
              <w:t>TOTAL SURPLUS OR DEFICIT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Pr="00464EE0" w:rsidR="005D6C4E" w:rsidP="00EF23CE" w:rsidRDefault="005D6C4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64EE0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76A3B" w:rsidTr="00EF23CE">
        <w:tc>
          <w:tcPr>
            <w:tcW w:w="7479" w:type="dxa"/>
            <w:shd w:val="clear" w:color="auto" w:fill="B8CCE4" w:themeFill="accent1" w:themeFillTint="66"/>
            <w:vAlign w:val="center"/>
          </w:tcPr>
          <w:p w:rsidRPr="00464EE0" w:rsidR="00EF23CE" w:rsidP="00EF23CE" w:rsidRDefault="00676A3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 a percentage of Gross Development Value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Pr="00464EE0" w:rsidR="00676A3B" w:rsidP="00EF23CE" w:rsidRDefault="00676A3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% </w:t>
            </w:r>
          </w:p>
        </w:tc>
      </w:tr>
    </w:tbl>
    <w:p w:rsidR="00E03043" w:rsidRDefault="00E03043">
      <w:pPr>
        <w:rPr>
          <w:rFonts w:ascii="Arial" w:hAnsi="Arial" w:cs="Arial"/>
          <w:sz w:val="24"/>
          <w:szCs w:val="24"/>
        </w:rPr>
      </w:pPr>
    </w:p>
    <w:p w:rsidR="00E03043" w:rsidRDefault="00E030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58F3" w:rsidTr="00DB1AA9">
        <w:tc>
          <w:tcPr>
            <w:tcW w:w="9242" w:type="dxa"/>
            <w:shd w:val="clear" w:color="auto" w:fill="DBE5F1" w:themeFill="accent1" w:themeFillTint="33"/>
          </w:tcPr>
          <w:p w:rsidRPr="006558F3" w:rsidR="006558F3" w:rsidP="006558F3" w:rsidRDefault="006558F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558F3">
              <w:rPr>
                <w:rFonts w:ascii="Arial" w:hAnsi="Arial" w:cs="Arial"/>
                <w:b/>
                <w:sz w:val="24"/>
                <w:szCs w:val="24"/>
              </w:rPr>
              <w:lastRenderedPageBreak/>
              <w:t>SUPPORTING STATEMENT</w:t>
            </w:r>
          </w:p>
        </w:tc>
      </w:tr>
      <w:tr w:rsidR="006558F3" w:rsidTr="006558F3">
        <w:tc>
          <w:tcPr>
            <w:tcW w:w="9242" w:type="dxa"/>
          </w:tcPr>
          <w:p w:rsidR="006558F3" w:rsidP="006049AF" w:rsidRDefault="00F81F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brief explanation in support of the development appraisal above</w:t>
            </w:r>
            <w:r w:rsidR="00CB758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049AF">
              <w:rPr>
                <w:rFonts w:ascii="Arial" w:hAnsi="Arial" w:cs="Arial"/>
                <w:sz w:val="24"/>
                <w:szCs w:val="24"/>
              </w:rPr>
              <w:t>how</w:t>
            </w:r>
            <w:r w:rsidR="00E03043">
              <w:rPr>
                <w:rFonts w:ascii="Arial" w:hAnsi="Arial" w:cs="Arial"/>
                <w:sz w:val="24"/>
                <w:szCs w:val="24"/>
              </w:rPr>
              <w:t xml:space="preserve"> conversion to affordabl</w:t>
            </w:r>
            <w:r w:rsidR="006049AF">
              <w:rPr>
                <w:rFonts w:ascii="Arial" w:hAnsi="Arial" w:cs="Arial"/>
                <w:sz w:val="24"/>
                <w:szCs w:val="24"/>
              </w:rPr>
              <w:t xml:space="preserve">e housing has been demonstrated </w:t>
            </w:r>
            <w:r w:rsidR="00E03043">
              <w:rPr>
                <w:rFonts w:ascii="Arial" w:hAnsi="Arial" w:cs="Arial"/>
                <w:sz w:val="24"/>
                <w:szCs w:val="24"/>
              </w:rPr>
              <w:t>not</w:t>
            </w:r>
            <w:r w:rsidR="006049AF">
              <w:rPr>
                <w:rFonts w:ascii="Arial" w:hAnsi="Arial" w:cs="Arial"/>
                <w:sz w:val="24"/>
                <w:szCs w:val="24"/>
              </w:rPr>
              <w:t xml:space="preserve"> to be</w:t>
            </w:r>
            <w:r w:rsidR="00E03043">
              <w:rPr>
                <w:rFonts w:ascii="Arial" w:hAnsi="Arial" w:cs="Arial"/>
                <w:sz w:val="24"/>
                <w:szCs w:val="24"/>
              </w:rPr>
              <w:t xml:space="preserve"> viable:</w:t>
            </w:r>
          </w:p>
        </w:tc>
      </w:tr>
      <w:tr w:rsidR="006558F3" w:rsidTr="006558F3">
        <w:tc>
          <w:tcPr>
            <w:tcW w:w="9242" w:type="dxa"/>
          </w:tcPr>
          <w:p w:rsidR="006558F3" w:rsidRDefault="006558F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6C70" w:rsidRDefault="00466C70">
      <w:pPr>
        <w:rPr>
          <w:rFonts w:ascii="Arial" w:hAnsi="Arial" w:cs="Arial"/>
          <w:sz w:val="24"/>
          <w:szCs w:val="24"/>
        </w:rPr>
      </w:pPr>
    </w:p>
    <w:p w:rsidR="00466C70" w:rsidRDefault="00466C70">
      <w:pPr>
        <w:rPr>
          <w:rFonts w:ascii="Arial" w:hAnsi="Arial" w:cs="Arial"/>
          <w:sz w:val="24"/>
          <w:szCs w:val="24"/>
        </w:rPr>
      </w:pPr>
    </w:p>
    <w:p w:rsidRPr="00AE0153" w:rsidR="00466C70" w:rsidP="00466C70" w:rsidRDefault="00466C70">
      <w:pPr>
        <w:rPr>
          <w:rFonts w:ascii="Arial" w:hAnsi="Arial" w:cs="Arial"/>
          <w:b/>
          <w:sz w:val="28"/>
          <w:szCs w:val="28"/>
        </w:rPr>
      </w:pPr>
      <w:r w:rsidRPr="00AE0153">
        <w:rPr>
          <w:rFonts w:ascii="Arial" w:hAnsi="Arial" w:cs="Arial"/>
          <w:b/>
          <w:sz w:val="28"/>
          <w:szCs w:val="28"/>
        </w:rPr>
        <w:t>Contact details</w:t>
      </w:r>
    </w:p>
    <w:p w:rsidR="00466C70" w:rsidP="00466C70" w:rsidRDefault="00466C70">
      <w:pPr>
        <w:rPr>
          <w:rFonts w:ascii="Arial" w:hAnsi="Arial" w:cs="Arial"/>
          <w:sz w:val="24"/>
          <w:szCs w:val="24"/>
        </w:rPr>
      </w:pPr>
      <w:bookmarkStart w:name="_GoBack" w:id="0"/>
      <w:bookmarkEnd w:id="0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4361"/>
      </w:tblGrid>
      <w:tr w:rsidR="00466C70" w:rsidTr="00466C70">
        <w:tc>
          <w:tcPr>
            <w:tcW w:w="4361" w:type="dxa"/>
          </w:tcPr>
          <w:p w:rsidR="00466C70" w:rsidP="00A42E0E" w:rsidRDefault="00466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Management Team</w:t>
            </w:r>
          </w:p>
        </w:tc>
      </w:tr>
      <w:tr w:rsidR="00466C70" w:rsidTr="00466C70">
        <w:tc>
          <w:tcPr>
            <w:tcW w:w="4361" w:type="dxa"/>
          </w:tcPr>
          <w:p w:rsidR="00466C70" w:rsidP="00A42E0E" w:rsidRDefault="00466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Denbighshire County Council</w:t>
            </w:r>
          </w:p>
        </w:tc>
      </w:tr>
      <w:tr w:rsidR="00466C70" w:rsidTr="00466C70">
        <w:tc>
          <w:tcPr>
            <w:tcW w:w="4361" w:type="dxa"/>
          </w:tcPr>
          <w:p w:rsidR="00466C70" w:rsidP="00A42E0E" w:rsidRDefault="00466C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Caledfryn</w:t>
            </w:r>
            <w:proofErr w:type="spellEnd"/>
          </w:p>
        </w:tc>
      </w:tr>
      <w:tr w:rsidR="00466C70" w:rsidTr="00466C70">
        <w:tc>
          <w:tcPr>
            <w:tcW w:w="4361" w:type="dxa"/>
          </w:tcPr>
          <w:p w:rsidR="00466C70" w:rsidP="00A42E0E" w:rsidRDefault="00466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Smithfield Road</w:t>
            </w:r>
          </w:p>
        </w:tc>
      </w:tr>
      <w:tr w:rsidR="00466C70" w:rsidTr="00466C70">
        <w:tc>
          <w:tcPr>
            <w:tcW w:w="4361" w:type="dxa"/>
          </w:tcPr>
          <w:p w:rsidR="00466C70" w:rsidP="00A42E0E" w:rsidRDefault="00466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Denbigh</w:t>
            </w:r>
          </w:p>
        </w:tc>
      </w:tr>
      <w:tr w:rsidR="00466C70" w:rsidTr="00466C70">
        <w:tc>
          <w:tcPr>
            <w:tcW w:w="4361" w:type="dxa"/>
          </w:tcPr>
          <w:p w:rsidR="00466C70" w:rsidP="00A42E0E" w:rsidRDefault="00466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LL16 3RJ</w:t>
            </w:r>
          </w:p>
        </w:tc>
      </w:tr>
      <w:tr w:rsidR="00466C70" w:rsidTr="00466C70">
        <w:tc>
          <w:tcPr>
            <w:tcW w:w="4361" w:type="dxa"/>
          </w:tcPr>
          <w:p w:rsidR="00466C70" w:rsidP="00A42E0E" w:rsidRDefault="0046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C70" w:rsidTr="00466C70">
        <w:tc>
          <w:tcPr>
            <w:tcW w:w="4361" w:type="dxa"/>
          </w:tcPr>
          <w:p w:rsidR="00466C70" w:rsidP="00A42E0E" w:rsidRDefault="00466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 (01824) 706727</w:t>
            </w:r>
          </w:p>
        </w:tc>
      </w:tr>
      <w:tr w:rsidR="00466C70" w:rsidTr="00466C70">
        <w:tc>
          <w:tcPr>
            <w:tcW w:w="4361" w:type="dxa"/>
          </w:tcPr>
          <w:p w:rsidR="00466C70" w:rsidP="00A42E0E" w:rsidRDefault="00466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  planning@denbighshire.gov.uk</w:t>
            </w:r>
          </w:p>
        </w:tc>
      </w:tr>
    </w:tbl>
    <w:p w:rsidRPr="006329A2" w:rsidR="00466C70" w:rsidRDefault="00466C70">
      <w:pPr>
        <w:rPr>
          <w:rFonts w:ascii="Arial" w:hAnsi="Arial" w:cs="Arial"/>
          <w:sz w:val="24"/>
          <w:szCs w:val="24"/>
        </w:rPr>
      </w:pPr>
    </w:p>
    <w:sectPr w:rsidRPr="006329A2" w:rsidR="00466C7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A4" w:rsidRDefault="008E3CA4" w:rsidP="008E3CA4">
      <w:r>
        <w:separator/>
      </w:r>
    </w:p>
  </w:endnote>
  <w:endnote w:type="continuationSeparator" w:id="0">
    <w:p w:rsidR="008E3CA4" w:rsidRDefault="008E3CA4" w:rsidP="008E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572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E15" w:rsidRDefault="00240E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4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0E15" w:rsidRDefault="00240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A4" w:rsidRDefault="008E3CA4" w:rsidP="008E3CA4">
      <w:r>
        <w:separator/>
      </w:r>
    </w:p>
  </w:footnote>
  <w:footnote w:type="continuationSeparator" w:id="0">
    <w:p w:rsidR="008E3CA4" w:rsidRDefault="008E3CA4" w:rsidP="008E3CA4">
      <w:r>
        <w:continuationSeparator/>
      </w:r>
    </w:p>
  </w:footnote>
  <w:footnote w:id="1">
    <w:p w:rsidR="008E3CA4" w:rsidRDefault="008E3CA4">
      <w:pPr>
        <w:pStyle w:val="FootnoteText"/>
      </w:pPr>
      <w:r>
        <w:rPr>
          <w:rStyle w:val="FootnoteReference"/>
        </w:rPr>
        <w:footnoteRef/>
      </w:r>
      <w:r>
        <w:t xml:space="preserve"> Please contact Denbighshire County Council’s Development Management Team for affordable values.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41" w:rsidRDefault="001C7941">
    <w:pPr>
      <w:pStyle w:val="HeaderEven"/>
    </w:pPr>
    <w:r>
      <w:t xml:space="preserve">Planning application </w:t>
    </w:r>
    <w:sdt>
      <w:sdtPr>
        <w:alias w:val="Title"/>
        <w:id w:val="540890930"/>
        <w:placeholder>
          <w:docPart w:val="8E850ADD146A4CFDBE7B8248D49767A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t xml:space="preserve">guidance note:  </w:t>
        </w:r>
        <w:r w:rsidR="00E80A16">
          <w:t xml:space="preserve">LDP </w:t>
        </w:r>
        <w:r w:rsidR="00CA46BF">
          <w:t>p</w:t>
        </w:r>
        <w:r>
          <w:t xml:space="preserve">olicy PSE 4 </w:t>
        </w:r>
        <w:proofErr w:type="spellStart"/>
        <w:r>
          <w:t>‘Re</w:t>
        </w:r>
        <w:proofErr w:type="spellEnd"/>
        <w:r>
          <w:t>-use &amp; adaptation of rural buildings in open countryside’</w:t>
        </w:r>
        <w:r w:rsidR="00601E42">
          <w:t xml:space="preserve"> (2 of 2)</w:t>
        </w:r>
      </w:sdtContent>
    </w:sdt>
  </w:p>
  <w:p w:rsidR="000E0C63" w:rsidRDefault="000E0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31A"/>
    <w:multiLevelType w:val="hybridMultilevel"/>
    <w:tmpl w:val="1B6EA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A2"/>
    <w:rsid w:val="0000193A"/>
    <w:rsid w:val="00025693"/>
    <w:rsid w:val="00026764"/>
    <w:rsid w:val="000674C0"/>
    <w:rsid w:val="000E0C63"/>
    <w:rsid w:val="001C7941"/>
    <w:rsid w:val="00201E33"/>
    <w:rsid w:val="00210DB4"/>
    <w:rsid w:val="00212361"/>
    <w:rsid w:val="00240E15"/>
    <w:rsid w:val="0026182F"/>
    <w:rsid w:val="002A0103"/>
    <w:rsid w:val="002A638C"/>
    <w:rsid w:val="002D5D24"/>
    <w:rsid w:val="00303566"/>
    <w:rsid w:val="00333976"/>
    <w:rsid w:val="003A244E"/>
    <w:rsid w:val="003A29B9"/>
    <w:rsid w:val="003B4520"/>
    <w:rsid w:val="004345C6"/>
    <w:rsid w:val="00464EE0"/>
    <w:rsid w:val="00466C70"/>
    <w:rsid w:val="004D3A35"/>
    <w:rsid w:val="004D7EF5"/>
    <w:rsid w:val="0051763D"/>
    <w:rsid w:val="005322D5"/>
    <w:rsid w:val="0054154C"/>
    <w:rsid w:val="005850A8"/>
    <w:rsid w:val="00590850"/>
    <w:rsid w:val="005B35FA"/>
    <w:rsid w:val="005D6C4E"/>
    <w:rsid w:val="00601E42"/>
    <w:rsid w:val="006049AF"/>
    <w:rsid w:val="0061564F"/>
    <w:rsid w:val="0062337A"/>
    <w:rsid w:val="006329A2"/>
    <w:rsid w:val="006558F3"/>
    <w:rsid w:val="00660B6B"/>
    <w:rsid w:val="00676A3B"/>
    <w:rsid w:val="00677CD6"/>
    <w:rsid w:val="006946FC"/>
    <w:rsid w:val="006957C8"/>
    <w:rsid w:val="006B08FB"/>
    <w:rsid w:val="006F7E46"/>
    <w:rsid w:val="00762CED"/>
    <w:rsid w:val="00765E27"/>
    <w:rsid w:val="007A245E"/>
    <w:rsid w:val="00812F0F"/>
    <w:rsid w:val="00824982"/>
    <w:rsid w:val="00846431"/>
    <w:rsid w:val="008B3FDB"/>
    <w:rsid w:val="008E3CA4"/>
    <w:rsid w:val="009214F0"/>
    <w:rsid w:val="009440F7"/>
    <w:rsid w:val="009820A2"/>
    <w:rsid w:val="009D4AF2"/>
    <w:rsid w:val="009E7D40"/>
    <w:rsid w:val="009F5096"/>
    <w:rsid w:val="00A360FD"/>
    <w:rsid w:val="00A56529"/>
    <w:rsid w:val="00B07A4C"/>
    <w:rsid w:val="00B1753E"/>
    <w:rsid w:val="00B4049F"/>
    <w:rsid w:val="00B76F3D"/>
    <w:rsid w:val="00BA56D8"/>
    <w:rsid w:val="00BB0F8C"/>
    <w:rsid w:val="00BC4D9E"/>
    <w:rsid w:val="00BD709A"/>
    <w:rsid w:val="00BD767A"/>
    <w:rsid w:val="00BF57E7"/>
    <w:rsid w:val="00C44260"/>
    <w:rsid w:val="00CA0AC4"/>
    <w:rsid w:val="00CA46BF"/>
    <w:rsid w:val="00CB0BA7"/>
    <w:rsid w:val="00CB7584"/>
    <w:rsid w:val="00D328ED"/>
    <w:rsid w:val="00DB0A67"/>
    <w:rsid w:val="00DB1AA9"/>
    <w:rsid w:val="00DB361E"/>
    <w:rsid w:val="00DC1C52"/>
    <w:rsid w:val="00DD62F6"/>
    <w:rsid w:val="00E03043"/>
    <w:rsid w:val="00E1254B"/>
    <w:rsid w:val="00E12CF0"/>
    <w:rsid w:val="00E50F65"/>
    <w:rsid w:val="00E80A16"/>
    <w:rsid w:val="00EB45D5"/>
    <w:rsid w:val="00EF23CE"/>
    <w:rsid w:val="00F175F6"/>
    <w:rsid w:val="00F379C9"/>
    <w:rsid w:val="00F40C80"/>
    <w:rsid w:val="00F81F47"/>
    <w:rsid w:val="00F9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0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3C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0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E15"/>
  </w:style>
  <w:style w:type="paragraph" w:styleId="Footer">
    <w:name w:val="footer"/>
    <w:basedOn w:val="Normal"/>
    <w:link w:val="FooterChar"/>
    <w:uiPriority w:val="99"/>
    <w:unhideWhenUsed/>
    <w:rsid w:val="00240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E15"/>
  </w:style>
  <w:style w:type="paragraph" w:styleId="BalloonText">
    <w:name w:val="Balloon Text"/>
    <w:basedOn w:val="Normal"/>
    <w:link w:val="BalloonTextChar"/>
    <w:uiPriority w:val="99"/>
    <w:semiHidden/>
    <w:unhideWhenUsed/>
    <w:rsid w:val="000E0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63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NoSpacing"/>
    <w:qFormat/>
    <w:rsid w:val="001C7941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1C7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0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3C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0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E15"/>
  </w:style>
  <w:style w:type="paragraph" w:styleId="Footer">
    <w:name w:val="footer"/>
    <w:basedOn w:val="Normal"/>
    <w:link w:val="FooterChar"/>
    <w:uiPriority w:val="99"/>
    <w:unhideWhenUsed/>
    <w:rsid w:val="00240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E15"/>
  </w:style>
  <w:style w:type="paragraph" w:styleId="BalloonText">
    <w:name w:val="Balloon Text"/>
    <w:basedOn w:val="Normal"/>
    <w:link w:val="BalloonTextChar"/>
    <w:uiPriority w:val="99"/>
    <w:semiHidden/>
    <w:unhideWhenUsed/>
    <w:rsid w:val="000E0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63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NoSpacing"/>
    <w:qFormat/>
    <w:rsid w:val="001C7941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1C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850ADD146A4CFDBE7B8248D497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D61AF-E4DC-475A-8D55-A7E598AA7EA4}"/>
      </w:docPartPr>
      <w:docPartBody>
        <w:p w:rsidR="00000000" w:rsidRDefault="00D3778E" w:rsidP="00D3778E">
          <w:pPr>
            <w:pStyle w:val="8E850ADD146A4CFDBE7B8248D49767A4"/>
          </w:pPr>
          <w:r>
            <w:rPr>
              <w:b/>
              <w:color w:val="1F497D" w:themeColor="text2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8E"/>
    <w:rsid w:val="00D3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8D549CD5B042A7AB28595C52BE499D">
    <w:name w:val="BC8D549CD5B042A7AB28595C52BE499D"/>
    <w:rsid w:val="00D3778E"/>
  </w:style>
  <w:style w:type="paragraph" w:customStyle="1" w:styleId="8A8DD5048E1046219A198D1AC7A74104">
    <w:name w:val="8A8DD5048E1046219A198D1AC7A74104"/>
    <w:rsid w:val="00D3778E"/>
  </w:style>
  <w:style w:type="paragraph" w:customStyle="1" w:styleId="95367B4A89C348608235EEBEF2DA9518">
    <w:name w:val="95367B4A89C348608235EEBEF2DA9518"/>
    <w:rsid w:val="00D3778E"/>
  </w:style>
  <w:style w:type="paragraph" w:customStyle="1" w:styleId="22CA9A6BB8D44AFBBE1C9DBC29EF0119">
    <w:name w:val="22CA9A6BB8D44AFBBE1C9DBC29EF0119"/>
    <w:rsid w:val="00D3778E"/>
  </w:style>
  <w:style w:type="paragraph" w:customStyle="1" w:styleId="FAE40158CC2A44EC9E9268C8ACDF59FF">
    <w:name w:val="FAE40158CC2A44EC9E9268C8ACDF59FF"/>
    <w:rsid w:val="00D3778E"/>
  </w:style>
  <w:style w:type="paragraph" w:customStyle="1" w:styleId="F2F10368CDE74B52BA6B9E3934B16D99">
    <w:name w:val="F2F10368CDE74B52BA6B9E3934B16D99"/>
    <w:rsid w:val="00D3778E"/>
  </w:style>
  <w:style w:type="paragraph" w:customStyle="1" w:styleId="819237B93D78463EB44BDBAEF865EA62">
    <w:name w:val="819237B93D78463EB44BDBAEF865EA62"/>
    <w:rsid w:val="00D3778E"/>
  </w:style>
  <w:style w:type="paragraph" w:customStyle="1" w:styleId="8E850ADD146A4CFDBE7B8248D49767A4">
    <w:name w:val="8E850ADD146A4CFDBE7B8248D49767A4"/>
    <w:rsid w:val="00D377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8D549CD5B042A7AB28595C52BE499D">
    <w:name w:val="BC8D549CD5B042A7AB28595C52BE499D"/>
    <w:rsid w:val="00D3778E"/>
  </w:style>
  <w:style w:type="paragraph" w:customStyle="1" w:styleId="8A8DD5048E1046219A198D1AC7A74104">
    <w:name w:val="8A8DD5048E1046219A198D1AC7A74104"/>
    <w:rsid w:val="00D3778E"/>
  </w:style>
  <w:style w:type="paragraph" w:customStyle="1" w:styleId="95367B4A89C348608235EEBEF2DA9518">
    <w:name w:val="95367B4A89C348608235EEBEF2DA9518"/>
    <w:rsid w:val="00D3778E"/>
  </w:style>
  <w:style w:type="paragraph" w:customStyle="1" w:styleId="22CA9A6BB8D44AFBBE1C9DBC29EF0119">
    <w:name w:val="22CA9A6BB8D44AFBBE1C9DBC29EF0119"/>
    <w:rsid w:val="00D3778E"/>
  </w:style>
  <w:style w:type="paragraph" w:customStyle="1" w:styleId="FAE40158CC2A44EC9E9268C8ACDF59FF">
    <w:name w:val="FAE40158CC2A44EC9E9268C8ACDF59FF"/>
    <w:rsid w:val="00D3778E"/>
  </w:style>
  <w:style w:type="paragraph" w:customStyle="1" w:styleId="F2F10368CDE74B52BA6B9E3934B16D99">
    <w:name w:val="F2F10368CDE74B52BA6B9E3934B16D99"/>
    <w:rsid w:val="00D3778E"/>
  </w:style>
  <w:style w:type="paragraph" w:customStyle="1" w:styleId="819237B93D78463EB44BDBAEF865EA62">
    <w:name w:val="819237B93D78463EB44BDBAEF865EA62"/>
    <w:rsid w:val="00D3778E"/>
  </w:style>
  <w:style w:type="paragraph" w:customStyle="1" w:styleId="8E850ADD146A4CFDBE7B8248D49767A4">
    <w:name w:val="8E850ADD146A4CFDBE7B8248D49767A4"/>
    <w:rsid w:val="00D37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73A9-2382-4835-B8D2-CC761A67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2891</CharactersWithSpaces>
  <SharedDoc>false</SharedDoc>
  <HyperlinksChanged>false</HyperlinksChanged>
  <AppVersion>14.0000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Conversion and re-use of redundant rural buildings development appraisal template</dc:title>
  <dc:creator>Claire MacFarlane</dc:creator>
  <cp:lastModifiedBy>Mr Alec Sumner</cp:lastModifiedBy>
  <cp:revision>31</cp:revision>
  <dcterms:created xsi:type="dcterms:W3CDTF">2015-06-05T10:38:00Z</dcterms:created>
  <dcterms:modified xsi:type="dcterms:W3CDTF">2020-07-07T15:16:35Z</dcterms:modified>
  <cp:keywords>
  </cp:keywords>
  <dc:subject>
  </dc:subject>
</cp:coreProperties>>
</file>